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912B" w14:textId="77777777" w:rsidR="007A1557" w:rsidRPr="003A26C1" w:rsidRDefault="007A1557" w:rsidP="007A1557">
      <w:pPr>
        <w:pStyle w:val="Nagwek1"/>
        <w:jc w:val="right"/>
        <w:rPr>
          <w:color w:val="000000" w:themeColor="text1"/>
          <w:sz w:val="24"/>
        </w:rPr>
      </w:pPr>
      <w:r w:rsidRPr="003A26C1">
        <w:rPr>
          <w:color w:val="000000" w:themeColor="text1"/>
          <w:sz w:val="24"/>
        </w:rPr>
        <w:t>Zapraszamy na szkolenie dwudniowe:</w:t>
      </w:r>
    </w:p>
    <w:p w14:paraId="6701EAF9" w14:textId="4B07C1B4" w:rsidR="007A1557" w:rsidRPr="003C4BDA" w:rsidRDefault="007A1557" w:rsidP="003C4BDA">
      <w:pPr>
        <w:pStyle w:val="Nagwek1"/>
        <w:jc w:val="right"/>
        <w:rPr>
          <w:color w:val="FFFFFF" w:themeColor="background1"/>
          <w:sz w:val="22"/>
        </w:rPr>
      </w:pPr>
      <w:r w:rsidRPr="005C3174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4792C" wp14:editId="67595D88">
                <wp:simplePos x="0" y="0"/>
                <wp:positionH relativeFrom="column">
                  <wp:posOffset>626854</wp:posOffset>
                </wp:positionH>
                <wp:positionV relativeFrom="paragraph">
                  <wp:posOffset>218744</wp:posOffset>
                </wp:positionV>
                <wp:extent cx="6122505" cy="1708031"/>
                <wp:effectExtent l="0" t="0" r="12065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170803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9D67" id="Prostokąt 5" o:spid="_x0000_s1026" style="position:absolute;margin-left:49.35pt;margin-top:17.2pt;width:482.1pt;height:1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" fillcolor="#7030a0" strokecolor="#002060" strokeweight="1pt"/>
            </w:pict>
          </mc:Fallback>
        </mc:AlternateContent>
      </w:r>
      <w:r w:rsidR="00A670B9">
        <w:rPr>
          <w:color w:val="FFFFFF" w:themeColor="background1"/>
        </w:rPr>
        <w:t>INSPEKTOR OCHRONY DANYCH</w:t>
      </w:r>
      <w:r w:rsidRPr="005C3174">
        <w:rPr>
          <w:color w:val="FFFFFF" w:themeColor="background1"/>
        </w:rPr>
        <w:br/>
      </w:r>
      <w:r w:rsidRPr="003A26C1">
        <w:rPr>
          <w:color w:val="FFFFFF" w:themeColor="background1"/>
          <w:sz w:val="22"/>
        </w:rPr>
        <w:t>- najnowsze przepisy,</w:t>
      </w:r>
      <w:r w:rsidRPr="003A26C1">
        <w:rPr>
          <w:color w:val="FFFFFF" w:themeColor="background1"/>
          <w:sz w:val="22"/>
        </w:rPr>
        <w:br/>
        <w:t xml:space="preserve">- szkolenie obejmuje autorskie warsztaty Case </w:t>
      </w:r>
      <w:proofErr w:type="spellStart"/>
      <w:r w:rsidRPr="003A26C1">
        <w:rPr>
          <w:color w:val="FFFFFF" w:themeColor="background1"/>
          <w:sz w:val="22"/>
        </w:rPr>
        <w:t>Study</w:t>
      </w:r>
      <w:proofErr w:type="spellEnd"/>
      <w:r w:rsidR="003C4BDA">
        <w:rPr>
          <w:color w:val="FFFFFF" w:themeColor="background1"/>
          <w:sz w:val="22"/>
        </w:rPr>
        <w:br/>
        <w:t>związane z analizą ryzyka</w:t>
      </w:r>
      <w:r w:rsidRPr="003A26C1">
        <w:rPr>
          <w:color w:val="FFFFFF" w:themeColor="background1"/>
          <w:sz w:val="22"/>
        </w:rPr>
        <w:t>.</w: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 w:rsidR="00671E57">
        <w:rPr>
          <w:color w:val="FFFFFF" w:themeColor="background1"/>
        </w:rPr>
        <w:t>1</w:t>
      </w:r>
      <w:r w:rsidR="00657420">
        <w:rPr>
          <w:color w:val="FFFFFF" w:themeColor="background1"/>
        </w:rPr>
        <w:t>4</w:t>
      </w:r>
      <w:r w:rsidR="00E71D6E">
        <w:rPr>
          <w:color w:val="FFFFFF" w:themeColor="background1"/>
        </w:rPr>
        <w:t>-</w:t>
      </w:r>
      <w:r w:rsidR="00657420">
        <w:rPr>
          <w:color w:val="FFFFFF" w:themeColor="background1"/>
        </w:rPr>
        <w:t>15</w:t>
      </w:r>
      <w:r w:rsidR="00E71D6E">
        <w:rPr>
          <w:color w:val="FFFFFF" w:themeColor="background1"/>
        </w:rPr>
        <w:t>.</w:t>
      </w:r>
      <w:r w:rsidR="00657420">
        <w:rPr>
          <w:color w:val="FFFFFF" w:themeColor="background1"/>
        </w:rPr>
        <w:t>0</w:t>
      </w:r>
      <w:r w:rsidR="00AF7F59">
        <w:rPr>
          <w:color w:val="FFFFFF" w:themeColor="background1"/>
        </w:rPr>
        <w:t>3</w:t>
      </w:r>
      <w:bookmarkStart w:id="0" w:name="_GoBack"/>
      <w:bookmarkEnd w:id="0"/>
      <w:r w:rsidRPr="005C3174">
        <w:rPr>
          <w:color w:val="FFFFFF" w:themeColor="background1"/>
        </w:rPr>
        <w:t>.201</w:t>
      </w:r>
      <w:r w:rsidR="00657420">
        <w:rPr>
          <w:color w:val="FFFFFF" w:themeColor="background1"/>
        </w:rPr>
        <w:t>9</w:t>
      </w:r>
      <w:r w:rsidRPr="005C3174">
        <w:rPr>
          <w:color w:val="FFFFFF" w:themeColor="background1"/>
        </w:rPr>
        <w:t xml:space="preserve"> r.</w:t>
      </w:r>
      <w:r w:rsidRPr="005C3174">
        <w:rPr>
          <w:color w:val="FFFFFF" w:themeColor="background1"/>
        </w:rPr>
        <w:br/>
        <w:t>KATOWICE</w:t>
      </w:r>
    </w:p>
    <w:p w14:paraId="4FA02FD1" w14:textId="77777777" w:rsidR="007A1557" w:rsidRPr="005C3174" w:rsidRDefault="007A1557" w:rsidP="007A1557">
      <w:pPr>
        <w:jc w:val="right"/>
        <w:rPr>
          <w:color w:val="FFFFFF" w:themeColor="background1"/>
        </w:rPr>
      </w:pPr>
      <w:r w:rsidRPr="005C3174">
        <w:rPr>
          <w:color w:val="FFFFFF" w:themeColor="background1"/>
        </w:rPr>
        <w:t xml:space="preserve">CENA w przypadku zgłoszenia jednej osoby: </w:t>
      </w:r>
      <w:r>
        <w:rPr>
          <w:color w:val="FFFFFF" w:themeColor="background1"/>
        </w:rPr>
        <w:t>9</w:t>
      </w:r>
      <w:r w:rsidRPr="005C3174">
        <w:rPr>
          <w:color w:val="FFFFFF" w:themeColor="background1"/>
        </w:rPr>
        <w:t>49 zł/netto.</w:t>
      </w:r>
    </w:p>
    <w:p w14:paraId="4F574B34" w14:textId="77777777" w:rsidR="007A1557" w:rsidRDefault="007A1557" w:rsidP="007A1557"/>
    <w:p w14:paraId="62ECE168" w14:textId="77777777" w:rsidR="007A1557" w:rsidRPr="00A56F55" w:rsidRDefault="007A1557" w:rsidP="007A1557">
      <w:pPr>
        <w:rPr>
          <w:rFonts w:ascii="Century Gothic" w:hAnsi="Century Gothic"/>
          <w:b/>
          <w:color w:val="7030A0"/>
          <w:sz w:val="36"/>
        </w:rPr>
      </w:pPr>
      <w:r w:rsidRPr="00A56F55">
        <w:rPr>
          <w:rFonts w:ascii="Century Gothic" w:hAnsi="Century Gothic"/>
          <w:b/>
          <w:color w:val="7030A0"/>
          <w:sz w:val="36"/>
        </w:rPr>
        <w:t>DZIEŃ I</w:t>
      </w:r>
      <w:r>
        <w:rPr>
          <w:rFonts w:ascii="Century Gothic" w:hAnsi="Century Gothic"/>
          <w:b/>
          <w:color w:val="7030A0"/>
          <w:sz w:val="36"/>
        </w:rPr>
        <w:t xml:space="preserve"> (7 h) </w:t>
      </w:r>
    </w:p>
    <w:p w14:paraId="3490329E" w14:textId="77777777" w:rsidR="007A1557" w:rsidRDefault="007A1557" w:rsidP="007A1557">
      <w:pPr>
        <w:pStyle w:val="Akapitzlist"/>
        <w:numPr>
          <w:ilvl w:val="0"/>
          <w:numId w:val="16"/>
        </w:numPr>
        <w:jc w:val="left"/>
        <w:rPr>
          <w:b/>
        </w:rPr>
      </w:pPr>
      <w:r w:rsidRPr="00A56F55">
        <w:rPr>
          <w:b/>
        </w:rPr>
        <w:t xml:space="preserve">PRZED CZYM SIĘ CHRONIĆ - KRÓTKIE OMÓWIENIE ZAGROŻEŃ, PODATNOŚCI, INCYDENTÓW ORAZ TECHNIKI KRADZIEŻY DANYCH: </w:t>
      </w:r>
    </w:p>
    <w:p w14:paraId="1AF29717" w14:textId="77777777" w:rsidR="007A1557" w:rsidRPr="00A56F55" w:rsidRDefault="007A1557" w:rsidP="007A1557">
      <w:pPr>
        <w:pStyle w:val="Akapitzlist"/>
        <w:rPr>
          <w:b/>
        </w:rPr>
      </w:pPr>
    </w:p>
    <w:p w14:paraId="679B0FF7" w14:textId="77777777"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statystyki wycieków danych, </w:t>
      </w:r>
    </w:p>
    <w:p w14:paraId="42C062ED" w14:textId="77777777"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konsekwencje wycieków danych, </w:t>
      </w:r>
    </w:p>
    <w:p w14:paraId="69A00306" w14:textId="77777777"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przykłady handlu danymi w Polsce, </w:t>
      </w:r>
    </w:p>
    <w:p w14:paraId="3AA0F0B8" w14:textId="77777777" w:rsidR="007A1557" w:rsidRDefault="007A1557" w:rsidP="007A1557">
      <w:pPr>
        <w:pStyle w:val="Akapitzlist"/>
        <w:numPr>
          <w:ilvl w:val="0"/>
          <w:numId w:val="14"/>
        </w:numPr>
        <w:jc w:val="left"/>
      </w:pPr>
      <w:r>
        <w:t xml:space="preserve">wartość danych. </w:t>
      </w:r>
    </w:p>
    <w:p w14:paraId="4B3FA021" w14:textId="77777777" w:rsidR="007A1557" w:rsidRDefault="007A1557" w:rsidP="007A1557">
      <w:pPr>
        <w:pStyle w:val="Akapitzlist"/>
      </w:pPr>
    </w:p>
    <w:p w14:paraId="62EEF14C" w14:textId="77777777" w:rsidR="007A1557" w:rsidRDefault="007A1557" w:rsidP="007A1557">
      <w:pPr>
        <w:pStyle w:val="Akapitzlist"/>
        <w:numPr>
          <w:ilvl w:val="0"/>
          <w:numId w:val="16"/>
        </w:numPr>
        <w:jc w:val="left"/>
      </w:pPr>
      <w:r w:rsidRPr="00A56F55">
        <w:rPr>
          <w:b/>
        </w:rPr>
        <w:t>PRZEPISY SZCZEGÓŁOWE PRAWA POLSKIEGO:</w:t>
      </w:r>
      <w:r w:rsidRPr="00A56F55">
        <w:t xml:space="preserve"> </w:t>
      </w:r>
    </w:p>
    <w:p w14:paraId="03ABCC40" w14:textId="77777777" w:rsidR="007A1557" w:rsidRPr="00A56F55" w:rsidRDefault="007A1557" w:rsidP="007A1557">
      <w:pPr>
        <w:pStyle w:val="Akapitzlist"/>
      </w:pPr>
    </w:p>
    <w:p w14:paraId="70C76C58" w14:textId="77777777"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 xml:space="preserve">Kodeks pracy - uregulowania kodeksu w sprawie przetwarzania danych osobowych pracowników. </w:t>
      </w:r>
    </w:p>
    <w:p w14:paraId="2D94558B" w14:textId="77777777"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 xml:space="preserve">Przepisy BHP- dokumentacja </w:t>
      </w:r>
      <w:r>
        <w:t xml:space="preserve">powypadkowa, a ochrona danych. </w:t>
      </w:r>
    </w:p>
    <w:p w14:paraId="2EA28CCA" w14:textId="77777777"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Prawo Autorskie – wizerunek jako dana/informacja</w:t>
      </w:r>
      <w:r>
        <w:t>, manipulacja wizerunkiem.</w:t>
      </w:r>
    </w:p>
    <w:p w14:paraId="2CFFEC50" w14:textId="77777777"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Prawo Cywi</w:t>
      </w:r>
      <w:r>
        <w:t>lne – dane osobowe jako dobro.</w:t>
      </w:r>
    </w:p>
    <w:p w14:paraId="7119851D" w14:textId="77777777"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Kodeks karny - przepisy karne związane</w:t>
      </w:r>
      <w:r>
        <w:t xml:space="preserve"> z bezpieczeństwem informacji. </w:t>
      </w:r>
    </w:p>
    <w:p w14:paraId="7B149162" w14:textId="77777777" w:rsidR="007A1557" w:rsidRP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Ustawa o świadczeniu usług drogą elektroniczną- adres</w:t>
      </w:r>
      <w:r>
        <w:t xml:space="preserve"> e-mail jako dana osobowa. </w:t>
      </w:r>
    </w:p>
    <w:p w14:paraId="5F1A5383" w14:textId="77777777" w:rsidR="007A1557" w:rsidRDefault="007A1557" w:rsidP="007A1557">
      <w:pPr>
        <w:pStyle w:val="Akapitzlist"/>
      </w:pPr>
    </w:p>
    <w:p w14:paraId="1002AC9F" w14:textId="77777777" w:rsidR="007A1557" w:rsidRDefault="00A670B9" w:rsidP="007A1557">
      <w:pPr>
        <w:pStyle w:val="Akapitzlist"/>
        <w:numPr>
          <w:ilvl w:val="0"/>
          <w:numId w:val="16"/>
        </w:numPr>
        <w:jc w:val="left"/>
        <w:rPr>
          <w:b/>
        </w:rPr>
      </w:pPr>
      <w:r>
        <w:rPr>
          <w:b/>
        </w:rPr>
        <w:t xml:space="preserve">PRZEPISY </w:t>
      </w:r>
      <w:r w:rsidR="007A1557" w:rsidRPr="00A56F55">
        <w:rPr>
          <w:b/>
        </w:rPr>
        <w:t xml:space="preserve">O OCHRONIE DANYCH OSOBOWYCH: </w:t>
      </w:r>
    </w:p>
    <w:p w14:paraId="51A5160B" w14:textId="77777777" w:rsidR="007A1557" w:rsidRPr="00A56F55" w:rsidRDefault="007A1557" w:rsidP="007A1557">
      <w:pPr>
        <w:pStyle w:val="Akapitzlist"/>
        <w:rPr>
          <w:b/>
        </w:rPr>
      </w:pPr>
    </w:p>
    <w:p w14:paraId="454B8C5F" w14:textId="77777777" w:rsidR="007A1557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EB154A">
        <w:rPr>
          <w:b/>
        </w:rPr>
        <w:t xml:space="preserve">nowelizacja przepisów o ochronie danych osobowych- omówienie podstawowych zmian spójnego Prawa Unijnego dotyczącego Ochrony Danych Osobowych </w:t>
      </w:r>
      <w:r w:rsidR="00F3154C">
        <w:rPr>
          <w:b/>
        </w:rPr>
        <w:t>z</w:t>
      </w:r>
      <w:r>
        <w:rPr>
          <w:b/>
        </w:rPr>
        <w:t xml:space="preserve"> maj</w:t>
      </w:r>
      <w:r w:rsidR="00F3154C">
        <w:rPr>
          <w:b/>
        </w:rPr>
        <w:t>a</w:t>
      </w:r>
      <w:r w:rsidRPr="00EB154A">
        <w:rPr>
          <w:b/>
        </w:rPr>
        <w:t xml:space="preserve"> 2018 r., </w:t>
      </w:r>
    </w:p>
    <w:p w14:paraId="7E54F352" w14:textId="77777777"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wykaz różnić w odniesieniu do aktualnych przepisów,</w:t>
      </w:r>
    </w:p>
    <w:p w14:paraId="1C0796B0" w14:textId="77777777"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nowe pojęcia i obowiązki w szczególności: profilowanie, prawo do przenoszenia danych, nowy obowiązek informacyjny wraz z nowymi zasadami pierwszego kontaktu z podmiotem danych, zasada „przejrzystości”, prawo do bycia zapomnianym.</w:t>
      </w:r>
    </w:p>
    <w:p w14:paraId="6A2CA830" w14:textId="77777777"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 xml:space="preserve">Nowe podejście do ochrony danych. </w:t>
      </w:r>
    </w:p>
    <w:p w14:paraId="4E3D39DD" w14:textId="77777777" w:rsidR="00A670B9" w:rsidRPr="00EB154A" w:rsidRDefault="00A670B9" w:rsidP="00A670B9">
      <w:pPr>
        <w:pStyle w:val="Akapitzlist"/>
        <w:ind w:left="1440"/>
        <w:jc w:val="left"/>
        <w:rPr>
          <w:b/>
        </w:rPr>
      </w:pPr>
    </w:p>
    <w:p w14:paraId="1DE1B9DD" w14:textId="49C3E44C" w:rsidR="007A1557" w:rsidRPr="00A56F55" w:rsidRDefault="00671E57" w:rsidP="007A1557">
      <w:pPr>
        <w:pStyle w:val="Akapitzlist"/>
        <w:numPr>
          <w:ilvl w:val="0"/>
          <w:numId w:val="17"/>
        </w:numPr>
        <w:jc w:val="left"/>
      </w:pPr>
      <w:r>
        <w:lastRenderedPageBreak/>
        <w:t>U</w:t>
      </w:r>
      <w:r w:rsidR="007A1557" w:rsidRPr="00A56F55">
        <w:t>stawy o ochronie danych osobowych</w:t>
      </w:r>
      <w:r>
        <w:t xml:space="preserve"> z dnia 10 maja 2018 r.</w:t>
      </w:r>
      <w:r w:rsidR="007A1557" w:rsidRPr="00A56F55">
        <w:rPr>
          <w:b/>
        </w:rPr>
        <w:t>:</w:t>
      </w:r>
      <w:r w:rsidR="007A1557" w:rsidRPr="00A56F55">
        <w:t xml:space="preserve"> </w:t>
      </w:r>
    </w:p>
    <w:p w14:paraId="77A4204F" w14:textId="69AE8912"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 xml:space="preserve">„Rejestr </w:t>
      </w:r>
      <w:r w:rsidR="00164D48">
        <w:t>Inspektorów Ochrony Danych</w:t>
      </w:r>
      <w:r w:rsidRPr="00A56F55">
        <w:t xml:space="preserve">” - kto może zostać </w:t>
      </w:r>
      <w:r w:rsidR="00164D48">
        <w:t>IOD-em</w:t>
      </w:r>
      <w:r w:rsidRPr="00A56F55">
        <w:t xml:space="preserve">, jak zgłosić </w:t>
      </w:r>
      <w:r w:rsidR="00164D48">
        <w:t>IOD-a</w:t>
      </w:r>
      <w:r w:rsidRPr="00A56F55">
        <w:t>, kto prowa</w:t>
      </w:r>
      <w:r>
        <w:t xml:space="preserve">dzi rejestr i w jakiej formie, </w:t>
      </w:r>
    </w:p>
    <w:p w14:paraId="6E786C69" w14:textId="450A8D3A"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 xml:space="preserve">Zasady tworzenia sprawozdań dla Administratora Danych </w:t>
      </w:r>
      <w:r w:rsidR="00164D48">
        <w:t>raportowania incydentów do PUOD</w:t>
      </w:r>
      <w:r w:rsidRPr="00A56F55">
        <w:t>,</w:t>
      </w:r>
    </w:p>
    <w:p w14:paraId="6D0C6A7F" w14:textId="62629827"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 xml:space="preserve">pozycja </w:t>
      </w:r>
      <w:r w:rsidR="00164D48">
        <w:t>Inspektora Ochrony Danych;</w:t>
      </w:r>
      <w:r>
        <w:t xml:space="preserve"> </w:t>
      </w:r>
    </w:p>
    <w:p w14:paraId="128144E0" w14:textId="22F1DEF6" w:rsidR="007A1557" w:rsidRDefault="007A1557" w:rsidP="00671E57">
      <w:pPr>
        <w:pStyle w:val="Akapitzlist"/>
        <w:ind w:left="1440"/>
        <w:jc w:val="left"/>
      </w:pPr>
    </w:p>
    <w:p w14:paraId="043BFD47" w14:textId="77777777" w:rsidR="007A1557" w:rsidRDefault="007A1557" w:rsidP="007A1557">
      <w:pPr>
        <w:pStyle w:val="Akapitzlist"/>
        <w:ind w:left="1440"/>
      </w:pPr>
    </w:p>
    <w:p w14:paraId="0C702D3E" w14:textId="77777777" w:rsidR="007A1557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F77438">
        <w:rPr>
          <w:b/>
        </w:rPr>
        <w:t xml:space="preserve">Nowe ustawowe obowiązki </w:t>
      </w:r>
      <w:r w:rsidR="00A670B9">
        <w:rPr>
          <w:b/>
        </w:rPr>
        <w:t xml:space="preserve">Inspektora Ochrony Danych w odniesieniu do </w:t>
      </w:r>
      <w:r w:rsidRPr="00F77438">
        <w:rPr>
          <w:b/>
        </w:rPr>
        <w:t>Administra</w:t>
      </w:r>
      <w:r>
        <w:rPr>
          <w:b/>
        </w:rPr>
        <w:t>tora Bezpieczeństwa Informacji:</w:t>
      </w:r>
    </w:p>
    <w:p w14:paraId="46844996" w14:textId="40D8BD77"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Kto może, a kto nie może być IOD?</w:t>
      </w:r>
    </w:p>
    <w:p w14:paraId="5C07E3D2" w14:textId="55E95E70"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Podstawowe zadania IOD,</w:t>
      </w:r>
    </w:p>
    <w:p w14:paraId="35BBD172" w14:textId="77777777"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 xml:space="preserve">Prowadzenie </w:t>
      </w:r>
      <w:r w:rsidR="00A670B9">
        <w:rPr>
          <w:b/>
        </w:rPr>
        <w:t xml:space="preserve">rejestru czynności przetwarzania w porównaniu z </w:t>
      </w:r>
      <w:r>
        <w:rPr>
          <w:b/>
        </w:rPr>
        <w:t>jawn</w:t>
      </w:r>
      <w:r w:rsidR="00A670B9">
        <w:rPr>
          <w:b/>
        </w:rPr>
        <w:t>ym</w:t>
      </w:r>
      <w:r>
        <w:rPr>
          <w:b/>
        </w:rPr>
        <w:t xml:space="preserve"> wykaz</w:t>
      </w:r>
      <w:r w:rsidR="00A670B9">
        <w:rPr>
          <w:b/>
        </w:rPr>
        <w:t xml:space="preserve">em </w:t>
      </w:r>
      <w:r>
        <w:rPr>
          <w:b/>
        </w:rPr>
        <w:t>zbiorów danych</w:t>
      </w:r>
      <w:r w:rsidR="00A670B9">
        <w:rPr>
          <w:b/>
        </w:rPr>
        <w:t>,</w:t>
      </w:r>
    </w:p>
    <w:p w14:paraId="015EDA4F" w14:textId="66488A3F"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Plan sprawozdań</w:t>
      </w:r>
      <w:r w:rsidR="00164D48">
        <w:rPr>
          <w:b/>
        </w:rPr>
        <w:t>- zostawić czy zrezygnować,</w:t>
      </w:r>
    </w:p>
    <w:p w14:paraId="2EE9BEA6" w14:textId="77777777"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Pouczanie i upominanie osób niestosujących się do Polityki bezpieczeństwa.</w:t>
      </w:r>
    </w:p>
    <w:p w14:paraId="5843B7C0" w14:textId="6E8E4409" w:rsidR="007A1557" w:rsidRPr="00F77438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 xml:space="preserve">Jak </w:t>
      </w:r>
      <w:r w:rsidR="00164D48">
        <w:rPr>
          <w:b/>
        </w:rPr>
        <w:t xml:space="preserve">w praktyce </w:t>
      </w:r>
      <w:r>
        <w:rPr>
          <w:b/>
        </w:rPr>
        <w:t xml:space="preserve">wygląda praca </w:t>
      </w:r>
      <w:r w:rsidR="00164D48">
        <w:rPr>
          <w:b/>
        </w:rPr>
        <w:t>IOD.</w:t>
      </w:r>
      <w:r w:rsidRPr="00F77438">
        <w:rPr>
          <w:b/>
        </w:rPr>
        <w:br/>
      </w:r>
    </w:p>
    <w:p w14:paraId="38ED371A" w14:textId="271A387F" w:rsidR="007A1557" w:rsidRPr="008F1FF6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8F1FF6">
        <w:rPr>
          <w:b/>
        </w:rPr>
        <w:t xml:space="preserve">pojęcie danych osobowych oraz kategorii danych ze szczególnym naciskiem na tzw. „dane wrażliwe” </w:t>
      </w:r>
      <w:r w:rsidR="00671E57">
        <w:rPr>
          <w:b/>
        </w:rPr>
        <w:t xml:space="preserve">/ dane szczególnej kategorii </w:t>
      </w:r>
      <w:r w:rsidRPr="008F1FF6">
        <w:rPr>
          <w:b/>
        </w:rPr>
        <w:t xml:space="preserve">np. stan zdrowia, </w:t>
      </w:r>
    </w:p>
    <w:p w14:paraId="7F67A347" w14:textId="3C8A1EDE" w:rsidR="007A1557" w:rsidRDefault="00164D48" w:rsidP="007A1557">
      <w:pPr>
        <w:pStyle w:val="Akapitzlist"/>
        <w:numPr>
          <w:ilvl w:val="0"/>
          <w:numId w:val="17"/>
        </w:numPr>
        <w:jc w:val="left"/>
      </w:pPr>
      <w:r>
        <w:t>Prezes Urzędu Ochrony Danych</w:t>
      </w:r>
      <w:r w:rsidR="00671E57">
        <w:t xml:space="preserve"> Osobowych</w:t>
      </w:r>
      <w:r>
        <w:t>-</w:t>
      </w:r>
      <w:r w:rsidR="007A1557" w:rsidRPr="00A56F55">
        <w:t xml:space="preserve"> obowiązki i prawa</w:t>
      </w:r>
      <w:r>
        <w:t>,</w:t>
      </w:r>
    </w:p>
    <w:p w14:paraId="45EFDBE5" w14:textId="77777777"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A56F55">
        <w:t xml:space="preserve">szczegółowe omówienie pojęcia </w:t>
      </w:r>
      <w:r>
        <w:t>Administrator Danych Osobowych,</w:t>
      </w:r>
    </w:p>
    <w:p w14:paraId="1DD3B8D6" w14:textId="77777777"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pozostałe podstawowe pojęcia usta</w:t>
      </w:r>
      <w:r>
        <w:t>wy o ochronie danych osobowych</w:t>
      </w:r>
      <w:r w:rsidR="00C24606">
        <w:t xml:space="preserve"> i RODO</w:t>
      </w:r>
      <w:r>
        <w:t>,</w:t>
      </w:r>
    </w:p>
    <w:p w14:paraId="5E6698A5" w14:textId="77777777" w:rsidR="007A1557" w:rsidRPr="00F77438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obowiązki związane z przetwarzaniem danych osobowych:</w:t>
      </w:r>
    </w:p>
    <w:p w14:paraId="20FAE6E8" w14:textId="77777777" w:rsidR="007A1557" w:rsidRDefault="007A1557" w:rsidP="007A1557">
      <w:pPr>
        <w:pStyle w:val="Akapitzlist"/>
        <w:numPr>
          <w:ilvl w:val="0"/>
          <w:numId w:val="19"/>
        </w:numPr>
        <w:jc w:val="left"/>
      </w:pPr>
      <w:r w:rsidRPr="00F77438">
        <w:t xml:space="preserve">legalne przetwarzanie danych </w:t>
      </w:r>
      <w:r>
        <w:t xml:space="preserve">osobowych, </w:t>
      </w:r>
    </w:p>
    <w:p w14:paraId="54791A83" w14:textId="19CEF31B" w:rsidR="007A1557" w:rsidRDefault="007A1557" w:rsidP="007A1557">
      <w:pPr>
        <w:pStyle w:val="Akapitzlist"/>
        <w:numPr>
          <w:ilvl w:val="0"/>
          <w:numId w:val="19"/>
        </w:numPr>
        <w:jc w:val="left"/>
      </w:pPr>
      <w:r w:rsidRPr="00F77438">
        <w:t xml:space="preserve">obowiązki informacyjne związane z przetwarzaniem danych osobowych , </w:t>
      </w:r>
    </w:p>
    <w:p w14:paraId="33511F16" w14:textId="1AD34962" w:rsidR="00671E57" w:rsidRDefault="00671E57" w:rsidP="007A1557">
      <w:pPr>
        <w:pStyle w:val="Akapitzlist"/>
        <w:numPr>
          <w:ilvl w:val="0"/>
          <w:numId w:val="19"/>
        </w:numPr>
        <w:jc w:val="left"/>
      </w:pPr>
      <w:r>
        <w:t>podstawowe prawa i wolności osób fizycznych.</w:t>
      </w:r>
    </w:p>
    <w:p w14:paraId="44FAF153" w14:textId="77777777" w:rsidR="007A1557" w:rsidRPr="00F77438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Powierzenie da</w:t>
      </w:r>
      <w:r>
        <w:t xml:space="preserve">nych osobowych do przetwarzania- </w:t>
      </w:r>
      <w:r w:rsidRPr="00F77438">
        <w:rPr>
          <w:b/>
        </w:rPr>
        <w:t>zawieranie umów powierzenia danych osobowych do przetwarzania, przykłady umów powierzenia</w:t>
      </w:r>
      <w:r w:rsidR="00C24606">
        <w:rPr>
          <w:b/>
        </w:rPr>
        <w:t xml:space="preserve"> na nowych zasadach</w:t>
      </w:r>
      <w:r w:rsidRPr="00F77438">
        <w:rPr>
          <w:b/>
        </w:rPr>
        <w:t xml:space="preserve">, </w:t>
      </w:r>
    </w:p>
    <w:p w14:paraId="6A08DFE8" w14:textId="77777777"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przekazywa</w:t>
      </w:r>
      <w:r>
        <w:t>nie danych osobowych za granice,</w:t>
      </w:r>
    </w:p>
    <w:p w14:paraId="7182B08E" w14:textId="77777777" w:rsidR="007A1557" w:rsidRPr="005D3F30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 xml:space="preserve">przepisy karne ustawy o ochronie danych osobowych. </w:t>
      </w:r>
      <w:r>
        <w:br/>
      </w:r>
    </w:p>
    <w:p w14:paraId="742326B0" w14:textId="77777777" w:rsidR="007A1557" w:rsidRPr="00C24606" w:rsidRDefault="007A1557" w:rsidP="007A1557">
      <w:pPr>
        <w:pStyle w:val="Akapitzlist"/>
        <w:numPr>
          <w:ilvl w:val="0"/>
          <w:numId w:val="16"/>
        </w:numPr>
        <w:jc w:val="left"/>
        <w:rPr>
          <w:b/>
        </w:rPr>
      </w:pPr>
      <w:r>
        <w:rPr>
          <w:b/>
        </w:rPr>
        <w:t xml:space="preserve">Panel dyskusyjny. </w:t>
      </w:r>
    </w:p>
    <w:p w14:paraId="039022FB" w14:textId="77777777" w:rsidR="007A1557" w:rsidRPr="00C33975" w:rsidRDefault="007A1557" w:rsidP="007A1557">
      <w:pPr>
        <w:rPr>
          <w:rFonts w:ascii="Century Gothic" w:hAnsi="Century Gothic"/>
          <w:b/>
          <w:color w:val="7030A0"/>
          <w:sz w:val="36"/>
        </w:rPr>
      </w:pPr>
      <w:r w:rsidRPr="00A56F55">
        <w:rPr>
          <w:rFonts w:ascii="Century Gothic" w:hAnsi="Century Gothic"/>
          <w:b/>
          <w:color w:val="7030A0"/>
          <w:sz w:val="36"/>
        </w:rPr>
        <w:t xml:space="preserve">DZIEŃ </w:t>
      </w:r>
      <w:r>
        <w:rPr>
          <w:rFonts w:ascii="Century Gothic" w:hAnsi="Century Gothic"/>
          <w:b/>
          <w:color w:val="7030A0"/>
          <w:sz w:val="36"/>
        </w:rPr>
        <w:t>I</w:t>
      </w:r>
      <w:r w:rsidRPr="00A56F55">
        <w:rPr>
          <w:rFonts w:ascii="Century Gothic" w:hAnsi="Century Gothic"/>
          <w:b/>
          <w:color w:val="7030A0"/>
          <w:sz w:val="36"/>
        </w:rPr>
        <w:t>I</w:t>
      </w:r>
      <w:r>
        <w:rPr>
          <w:rFonts w:ascii="Century Gothic" w:hAnsi="Century Gothic"/>
          <w:b/>
          <w:color w:val="7030A0"/>
          <w:sz w:val="36"/>
        </w:rPr>
        <w:t xml:space="preserve"> (7h)</w:t>
      </w:r>
    </w:p>
    <w:p w14:paraId="4B9AA02B" w14:textId="452F8722" w:rsidR="007A1557" w:rsidRPr="00C33975" w:rsidRDefault="007A1557" w:rsidP="007A1557">
      <w:pPr>
        <w:rPr>
          <w:rFonts w:ascii="Century Gothic" w:hAnsi="Century Gothic"/>
          <w:b/>
        </w:rPr>
      </w:pPr>
      <w:r w:rsidRPr="00C33975">
        <w:rPr>
          <w:rFonts w:ascii="Century Gothic" w:hAnsi="Century Gothic"/>
          <w:b/>
        </w:rPr>
        <w:t xml:space="preserve">1. </w:t>
      </w:r>
      <w:r w:rsidR="00C24606">
        <w:rPr>
          <w:rFonts w:ascii="Century Gothic" w:hAnsi="Century Gothic"/>
          <w:b/>
        </w:rPr>
        <w:t>PROCES ANALIZY RYZYKA</w:t>
      </w:r>
      <w:r w:rsidR="00671E57">
        <w:rPr>
          <w:rFonts w:ascii="Century Gothic" w:hAnsi="Century Gothic"/>
          <w:b/>
        </w:rPr>
        <w:t xml:space="preserve">, </w:t>
      </w:r>
      <w:r w:rsidRPr="00C33975">
        <w:rPr>
          <w:rFonts w:ascii="Century Gothic" w:hAnsi="Century Gothic"/>
          <w:b/>
        </w:rPr>
        <w:t xml:space="preserve">JAKIM POWINNY ODPOWIADAĆ URZĄDZENIA I SYSTEMY INFORMATYCZNE SŁUŻĄCE DO PRZETWARZANIA DANYCH OSOBOWYCH: </w:t>
      </w:r>
    </w:p>
    <w:p w14:paraId="05FF792D" w14:textId="4B5FF33A" w:rsidR="007A1557" w:rsidRPr="005C3174" w:rsidRDefault="00164D48" w:rsidP="007A1557">
      <w:pPr>
        <w:pStyle w:val="Akapitzlist"/>
        <w:numPr>
          <w:ilvl w:val="0"/>
          <w:numId w:val="20"/>
        </w:numPr>
        <w:jc w:val="left"/>
      </w:pPr>
      <w:r>
        <w:t xml:space="preserve">„Niepotrzebny dokument?”- </w:t>
      </w:r>
      <w:r w:rsidR="007A1557" w:rsidRPr="005C3174">
        <w:t>szczegółowe omówienie wytycznych co do formy i zawartości dokumentów Polityki Bezpieczeństwa i Instrukcji Zarządzania Systemem Informatycznym</w:t>
      </w:r>
      <w:r>
        <w:t>,</w:t>
      </w:r>
    </w:p>
    <w:p w14:paraId="34D867E0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osoby odpowiedzialne za opracowanie, wdrożenie i aktualizacje dokumentacji Polityki Bezpieczeństwa, </w:t>
      </w:r>
    </w:p>
    <w:p w14:paraId="6D15BC83" w14:textId="77777777" w:rsidR="007A1557" w:rsidRPr="005C3174" w:rsidRDefault="007A1557" w:rsidP="003C4BDA">
      <w:pPr>
        <w:pStyle w:val="Akapitzlist"/>
        <w:numPr>
          <w:ilvl w:val="0"/>
          <w:numId w:val="20"/>
        </w:numPr>
        <w:jc w:val="left"/>
      </w:pPr>
      <w:r w:rsidRPr="005C3174">
        <w:t xml:space="preserve">regulamin korzystania z sieci oraz infrastruktury IT, </w:t>
      </w:r>
    </w:p>
    <w:p w14:paraId="75EDDA02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wymogi bezpieczeństwa dotyczące pomieszczeń przetwarzania danych osobowych,</w:t>
      </w:r>
    </w:p>
    <w:p w14:paraId="40D178A3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zabezpieczenia kryptograficzne przetwarzanych danych osobowych – omówienie narzędzi służących do szyfrowania, </w:t>
      </w:r>
    </w:p>
    <w:p w14:paraId="3F0DCD12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przechowywanie i archiwizowanie danych osobowych, </w:t>
      </w:r>
    </w:p>
    <w:p w14:paraId="0F810CCD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lastRenderedPageBreak/>
        <w:t xml:space="preserve">zagrożenia płynące z sieci Internet - sposoby bezpiecznego korzystania z serwisów www, poczta elektroniczna - zasady bezpiecznej korespondencji, </w:t>
      </w:r>
    </w:p>
    <w:p w14:paraId="64D4BF1B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praktyczne rozwiązania w zakresie opracowania i wdrożenia Polityki Bezpieczeństwa Informacji,</w:t>
      </w:r>
    </w:p>
    <w:p w14:paraId="50B45635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praktyczne rozwiązania w zakresie opracowania i wdrożenia Instrukcji Zarządzania Systemem Informatycznym,</w:t>
      </w:r>
    </w:p>
    <w:p w14:paraId="315C2292" w14:textId="77777777"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Audyt- zaplanowanie, przeprowadzanie, wdrożenie działa</w:t>
      </w:r>
      <w:r w:rsidR="00474637">
        <w:t>ń</w:t>
      </w:r>
      <w:r w:rsidRPr="005C3174">
        <w:t xml:space="preserve"> korygujących.</w:t>
      </w:r>
    </w:p>
    <w:p w14:paraId="36A7036C" w14:textId="77777777" w:rsidR="007A1557" w:rsidRPr="005C3174" w:rsidRDefault="007A1557" w:rsidP="007A1557">
      <w:pPr>
        <w:rPr>
          <w:rFonts w:ascii="Century Gothic" w:hAnsi="Century Gothic"/>
          <w:b/>
        </w:rPr>
      </w:pPr>
      <w:r w:rsidRPr="005C3174">
        <w:rPr>
          <w:rFonts w:ascii="Century Gothic" w:hAnsi="Century Gothic"/>
          <w:b/>
        </w:rPr>
        <w:t>2. ĆWICZENIA</w:t>
      </w:r>
      <w:r w:rsidR="00C24606">
        <w:rPr>
          <w:rFonts w:ascii="Century Gothic" w:hAnsi="Century Gothic"/>
          <w:b/>
        </w:rPr>
        <w:t>- w tym analiza ryzyka</w:t>
      </w:r>
      <w:r w:rsidRPr="005C3174">
        <w:rPr>
          <w:rFonts w:ascii="Century Gothic" w:hAnsi="Century Gothic"/>
          <w:b/>
        </w:rPr>
        <w:t xml:space="preserve">. </w:t>
      </w:r>
    </w:p>
    <w:p w14:paraId="403B0B8B" w14:textId="77777777" w:rsidR="007A1557" w:rsidRPr="00CA772E" w:rsidRDefault="007A1557" w:rsidP="007A1557">
      <w:pPr>
        <w:rPr>
          <w:rFonts w:ascii="Century Gothic" w:hAnsi="Century Gothic"/>
        </w:rPr>
      </w:pPr>
      <w:r w:rsidRPr="00CA772E">
        <w:rPr>
          <w:rFonts w:ascii="Century Gothic" w:hAnsi="Century Gothic"/>
        </w:rPr>
        <w:t xml:space="preserve">Ćwiczenia prowadzone są w formie Case </w:t>
      </w:r>
      <w:proofErr w:type="spellStart"/>
      <w:r w:rsidRPr="00CA772E">
        <w:rPr>
          <w:rFonts w:ascii="Century Gothic" w:hAnsi="Century Gothic"/>
        </w:rPr>
        <w:t>Study</w:t>
      </w:r>
      <w:proofErr w:type="spellEnd"/>
      <w:r w:rsidRPr="00CA772E">
        <w:rPr>
          <w:rFonts w:ascii="Century Gothic" w:hAnsi="Century Gothic"/>
        </w:rPr>
        <w:t>. Ćwiczenia są zbudowane w taki sposób aby tworzyły całość podejścia do zagadnienia Polityki Bezpieczeństwa i związanymi z nią procedurami</w:t>
      </w:r>
      <w:r w:rsidR="00C24606">
        <w:rPr>
          <w:rFonts w:ascii="Century Gothic" w:hAnsi="Century Gothic"/>
        </w:rPr>
        <w:t xml:space="preserve"> </w:t>
      </w:r>
      <w:r w:rsidR="00C24606" w:rsidRPr="00C24606">
        <w:rPr>
          <w:rFonts w:ascii="Century Gothic" w:hAnsi="Century Gothic"/>
          <w:b/>
        </w:rPr>
        <w:t>opartymi na</w:t>
      </w:r>
      <w:r w:rsidR="00C24606">
        <w:rPr>
          <w:rFonts w:ascii="Century Gothic" w:hAnsi="Century Gothic"/>
        </w:rPr>
        <w:t xml:space="preserve"> </w:t>
      </w:r>
      <w:r w:rsidR="00C24606" w:rsidRPr="00C24606">
        <w:rPr>
          <w:rFonts w:ascii="Century Gothic" w:hAnsi="Century Gothic"/>
          <w:b/>
        </w:rPr>
        <w:t>Szacowaniu Ryzyka</w:t>
      </w:r>
      <w:r w:rsidRPr="00C24606">
        <w:rPr>
          <w:rFonts w:ascii="Century Gothic" w:hAnsi="Century Gothic"/>
          <w:b/>
        </w:rPr>
        <w:t>.</w:t>
      </w:r>
      <w:r w:rsidRPr="00CA772E">
        <w:rPr>
          <w:rFonts w:ascii="Century Gothic" w:hAnsi="Century Gothic"/>
        </w:rPr>
        <w:t xml:space="preserve"> Ćwiczenia są autorskim indywidualnym projektem (autor Michał Geilke), pokazują cztery najważniejsze Etapy wdrażania Polityki Bezpieczeństwa oraz najczęstsze problemy. Ćwiczenia obejmują szerokie spektrum zagadnień – od treści procedur i ich podstawy prawnej po elementy związane z identyfikacją zagrożeń oraz ich minimalizowaniem. </w:t>
      </w:r>
      <w:r w:rsidRPr="00C24606">
        <w:rPr>
          <w:rFonts w:ascii="Century Gothic" w:hAnsi="Century Gothic"/>
          <w:b/>
        </w:rPr>
        <w:t>Ćwiczenia obejmują:</w:t>
      </w:r>
    </w:p>
    <w:p w14:paraId="3436AE03" w14:textId="77777777"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 xml:space="preserve">Wdrożenie Polityki Bezpieczeństwa oraz powołanie </w:t>
      </w:r>
      <w:r w:rsidR="00C24606">
        <w:t>Inspektora Ochrony Danych:</w:t>
      </w:r>
    </w:p>
    <w:p w14:paraId="30BE6CC0" w14:textId="77777777"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>Szacowanie ryzyka,</w:t>
      </w:r>
    </w:p>
    <w:p w14:paraId="145EDC6B" w14:textId="77777777"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>Reagowanie na ryzyko,</w:t>
      </w:r>
    </w:p>
    <w:p w14:paraId="163AA01C" w14:textId="77777777"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 xml:space="preserve">Zarządzanie ryzykiem. </w:t>
      </w:r>
    </w:p>
    <w:p w14:paraId="621CFE3A" w14:textId="77777777"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Nadawanie, modyfikacja i odbieranie upoważnienia do przetwarzania danych osobowych</w:t>
      </w:r>
      <w:r w:rsidR="00C24606">
        <w:t xml:space="preserve"> (zgodne z RODO).</w:t>
      </w:r>
    </w:p>
    <w:p w14:paraId="0D51EFC9" w14:textId="77777777" w:rsidR="007A1557" w:rsidRDefault="007A1557" w:rsidP="007A1557">
      <w:pPr>
        <w:pStyle w:val="Akapitzlist"/>
      </w:pPr>
    </w:p>
    <w:p w14:paraId="1B689709" w14:textId="77777777" w:rsidR="007A1557" w:rsidRPr="003A26C1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Zbiory Danych osobowych</w:t>
      </w:r>
      <w:r w:rsidR="00C24606">
        <w:t xml:space="preserve"> i czynności przetwarzania</w:t>
      </w:r>
      <w:r w:rsidRPr="003A26C1">
        <w:t xml:space="preserve">: </w:t>
      </w:r>
    </w:p>
    <w:p w14:paraId="167703C5" w14:textId="77777777" w:rsidR="007A1557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identyfikacja zbiorów i ich elementów,</w:t>
      </w:r>
    </w:p>
    <w:p w14:paraId="6ED86BB0" w14:textId="77777777" w:rsidR="007A1557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legalizacja elementów zbiorów</w:t>
      </w:r>
      <w:r>
        <w:t>,</w:t>
      </w:r>
    </w:p>
    <w:p w14:paraId="7FA837F1" w14:textId="77777777" w:rsidR="007A1557" w:rsidRPr="003A26C1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identyfikacja zbiorów powierzonych lub otrzymanych w powierzeniu</w:t>
      </w:r>
      <w:r w:rsidR="00C24606">
        <w:t>.</w:t>
      </w:r>
    </w:p>
    <w:p w14:paraId="7377263D" w14:textId="77777777" w:rsidR="007A1557" w:rsidRDefault="007A1557" w:rsidP="007A1557">
      <w:pPr>
        <w:pStyle w:val="Akapitzlist"/>
        <w:ind w:left="1440"/>
      </w:pPr>
    </w:p>
    <w:p w14:paraId="3D02DE95" w14:textId="77777777"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Procedury rozpoczęcia i zakończenia pra</w:t>
      </w:r>
      <w:r>
        <w:t>cy z systemem informatycznym.</w:t>
      </w:r>
    </w:p>
    <w:p w14:paraId="3221CDAD" w14:textId="77777777"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Legalne źródła danych</w:t>
      </w:r>
      <w:r>
        <w:t>.</w:t>
      </w:r>
    </w:p>
    <w:p w14:paraId="55DC2DA1" w14:textId="77777777"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Umowy powierzenia</w:t>
      </w:r>
      <w:r>
        <w:t>.</w:t>
      </w:r>
    </w:p>
    <w:p w14:paraId="7ACF53C6" w14:textId="0545F08C" w:rsidR="007A1557" w:rsidRDefault="00164D48" w:rsidP="007A1557">
      <w:pPr>
        <w:pStyle w:val="Akapitzlist"/>
        <w:numPr>
          <w:ilvl w:val="0"/>
          <w:numId w:val="21"/>
        </w:numPr>
        <w:jc w:val="left"/>
      </w:pPr>
      <w:r>
        <w:t>R</w:t>
      </w:r>
      <w:r w:rsidR="003C4BDA">
        <w:t xml:space="preserve">aportowanie incydentów do </w:t>
      </w:r>
      <w:r>
        <w:t xml:space="preserve">Prezesa </w:t>
      </w:r>
      <w:r w:rsidR="003C4BDA">
        <w:t>Urzędu Ochrony Danych</w:t>
      </w:r>
      <w:r w:rsidR="00671E57">
        <w:t xml:space="preserve"> Osobowych</w:t>
      </w:r>
      <w:r w:rsidR="007A1557">
        <w:t>.</w:t>
      </w:r>
    </w:p>
    <w:p w14:paraId="7ECDCE68" w14:textId="6729E18E" w:rsidR="00336511" w:rsidRDefault="007A1557" w:rsidP="003C4BDA">
      <w:pPr>
        <w:pStyle w:val="Akapitzlist"/>
        <w:numPr>
          <w:ilvl w:val="0"/>
          <w:numId w:val="21"/>
        </w:numPr>
        <w:jc w:val="left"/>
      </w:pPr>
      <w:r w:rsidRPr="003A26C1">
        <w:t>Raport z incydentu</w:t>
      </w:r>
      <w:r>
        <w:t xml:space="preserve"> i Audyt</w:t>
      </w:r>
      <w:r w:rsidRPr="003A26C1">
        <w:t xml:space="preserve"> – z punktu widzenia użytkownika oraz z punktu widzenia </w:t>
      </w:r>
      <w:r w:rsidR="00F3154C">
        <w:t>IOD</w:t>
      </w:r>
      <w:r>
        <w:t>.</w:t>
      </w:r>
    </w:p>
    <w:p w14:paraId="4CBEF55A" w14:textId="25CC35AF" w:rsidR="00671E57" w:rsidRPr="00671E57" w:rsidRDefault="00671E57" w:rsidP="00671E57">
      <w:pPr>
        <w:ind w:left="360"/>
        <w:rPr>
          <w:rFonts w:ascii="Century Gothic" w:hAnsi="Century Gothic"/>
          <w:b/>
        </w:rPr>
      </w:pPr>
      <w:r w:rsidRPr="00671E57">
        <w:rPr>
          <w:rFonts w:ascii="Century Gothic" w:hAnsi="Century Gothic"/>
          <w:b/>
        </w:rPr>
        <w:t xml:space="preserve">3. </w:t>
      </w:r>
      <w:r>
        <w:rPr>
          <w:rFonts w:ascii="Century Gothic" w:hAnsi="Century Gothic"/>
          <w:b/>
        </w:rPr>
        <w:t>Panel dyskusyjny.</w:t>
      </w:r>
    </w:p>
    <w:sectPr w:rsidR="00671E57" w:rsidRPr="00671E57" w:rsidSect="00960A67">
      <w:headerReference w:type="default" r:id="rId8"/>
      <w:footerReference w:type="default" r:id="rId9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8643" w14:textId="77777777" w:rsidR="00A36B5A" w:rsidRDefault="00A36B5A" w:rsidP="007F371D">
      <w:pPr>
        <w:spacing w:after="0" w:line="240" w:lineRule="auto"/>
      </w:pPr>
      <w:r>
        <w:separator/>
      </w:r>
    </w:p>
  </w:endnote>
  <w:endnote w:type="continuationSeparator" w:id="0">
    <w:p w14:paraId="7A9EC89A" w14:textId="77777777" w:rsidR="00A36B5A" w:rsidRDefault="00A36B5A" w:rsidP="007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3059"/>
      <w:gridCol w:w="3059"/>
    </w:tblGrid>
    <w:tr w:rsidR="00F053C1" w:rsidRPr="00F053C1" w14:paraId="5BC79204" w14:textId="77777777" w:rsidTr="00F053C1">
      <w:trPr>
        <w:trHeight w:val="73"/>
      </w:trPr>
      <w:tc>
        <w:tcPr>
          <w:tcW w:w="3058" w:type="dxa"/>
        </w:tcPr>
        <w:p w14:paraId="14FF6FAE" w14:textId="77777777" w:rsidR="00F053C1" w:rsidRPr="00960A67" w:rsidRDefault="00F053C1" w:rsidP="00F053C1">
          <w:pPr>
            <w:pStyle w:val="Stopka"/>
            <w:rPr>
              <w:rFonts w:ascii="Century Gothic" w:hAnsi="Century Gothic"/>
              <w:sz w:val="16"/>
            </w:rPr>
          </w:pPr>
          <w:proofErr w:type="spellStart"/>
          <w:r w:rsidRPr="00960A67">
            <w:rPr>
              <w:rFonts w:ascii="Century Gothic" w:hAnsi="Century Gothic"/>
              <w:color w:val="563193"/>
              <w:sz w:val="16"/>
            </w:rPr>
            <w:t>Orleccy</w:t>
          </w:r>
          <w:proofErr w:type="spellEnd"/>
          <w:r w:rsidRPr="00960A67">
            <w:rPr>
              <w:rFonts w:ascii="Century Gothic" w:hAnsi="Century Gothic"/>
              <w:color w:val="563193"/>
              <w:sz w:val="16"/>
            </w:rPr>
            <w:t>- bezpieczeństwo</w:t>
          </w:r>
          <w:r w:rsidRPr="00960A67">
            <w:rPr>
              <w:rFonts w:ascii="Century Gothic" w:hAnsi="Century Gothic"/>
              <w:color w:val="563193"/>
              <w:sz w:val="16"/>
            </w:rPr>
            <w:br/>
            <w:t>i edukacja</w:t>
          </w:r>
          <w:r w:rsidRPr="00960A67">
            <w:rPr>
              <w:rFonts w:ascii="Century Gothic" w:hAnsi="Century Gothic"/>
              <w:sz w:val="16"/>
            </w:rPr>
            <w:br/>
            <w:t>Rodzinna 12/3</w:t>
          </w:r>
          <w:r w:rsidRPr="00960A67">
            <w:rPr>
              <w:rFonts w:ascii="Century Gothic" w:hAnsi="Century Gothic"/>
              <w:sz w:val="16"/>
            </w:rPr>
            <w:br/>
            <w:t>41-500 CHORZÓW</w:t>
          </w:r>
        </w:p>
      </w:tc>
      <w:tc>
        <w:tcPr>
          <w:tcW w:w="3059" w:type="dxa"/>
        </w:tcPr>
        <w:p w14:paraId="266C27A0" w14:textId="77777777"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>Tel.: (32) 255 – 55 – 99</w:t>
          </w:r>
          <w:r w:rsidRPr="00960A67">
            <w:rPr>
              <w:rFonts w:ascii="Century Gothic" w:hAnsi="Century Gothic"/>
              <w:noProof/>
              <w:sz w:val="16"/>
              <w:lang w:eastAsia="pl-PL"/>
            </w:rPr>
            <w:cr/>
            <w:t>Fax: (32) 255 – 55 – 99</w:t>
          </w:r>
        </w:p>
        <w:p w14:paraId="1E38EE8F" w14:textId="77777777"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 xml:space="preserve">E-mail: </w:t>
          </w:r>
          <w:r w:rsidRPr="00960A67">
            <w:rPr>
              <w:rFonts w:ascii="Century Gothic" w:hAnsi="Century Gothic"/>
              <w:noProof/>
              <w:color w:val="7030A0"/>
              <w:sz w:val="16"/>
              <w:lang w:eastAsia="pl-PL"/>
            </w:rPr>
            <w:t>biuro@orleccy.pl</w:t>
          </w:r>
        </w:p>
      </w:tc>
      <w:tc>
        <w:tcPr>
          <w:tcW w:w="3059" w:type="dxa"/>
        </w:tcPr>
        <w:p w14:paraId="092497BA" w14:textId="77777777"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>NIP: 643 164 77 32</w:t>
          </w:r>
          <w:r w:rsidRPr="00960A67">
            <w:rPr>
              <w:rFonts w:ascii="Century Gothic" w:hAnsi="Century Gothic"/>
              <w:noProof/>
              <w:sz w:val="16"/>
              <w:lang w:eastAsia="pl-PL"/>
            </w:rPr>
            <w:cr/>
            <w:t>REGON: 241728947</w:t>
          </w:r>
        </w:p>
        <w:p w14:paraId="5BDD81C0" w14:textId="77777777"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color w:val="7030A0"/>
              <w:sz w:val="16"/>
              <w:lang w:eastAsia="pl-PL"/>
            </w:rPr>
            <w:t>www.orleccy.pl</w:t>
          </w:r>
        </w:p>
      </w:tc>
    </w:tr>
  </w:tbl>
  <w:p w14:paraId="1239998B" w14:textId="77777777" w:rsidR="00F053C1" w:rsidRPr="00F053C1" w:rsidRDefault="00960A67" w:rsidP="00960A67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2D6F09" wp14:editId="350998B1">
          <wp:simplePos x="0" y="0"/>
          <wp:positionH relativeFrom="column">
            <wp:posOffset>4621544</wp:posOffset>
          </wp:positionH>
          <wp:positionV relativeFrom="paragraph">
            <wp:posOffset>-638007</wp:posOffset>
          </wp:positionV>
          <wp:extent cx="2827437" cy="2736742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ol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437" cy="2736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40B3" w14:textId="77777777" w:rsidR="00A36B5A" w:rsidRDefault="00A36B5A" w:rsidP="007F371D">
      <w:pPr>
        <w:spacing w:after="0" w:line="240" w:lineRule="auto"/>
      </w:pPr>
      <w:r>
        <w:separator/>
      </w:r>
    </w:p>
  </w:footnote>
  <w:footnote w:type="continuationSeparator" w:id="0">
    <w:p w14:paraId="7D22FECE" w14:textId="77777777" w:rsidR="00A36B5A" w:rsidRDefault="00A36B5A" w:rsidP="007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9D63" w14:textId="77777777" w:rsidR="007F371D" w:rsidRDefault="007F3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626282" wp14:editId="3C69F01D">
          <wp:simplePos x="0" y="0"/>
          <wp:positionH relativeFrom="margin">
            <wp:align>left</wp:align>
          </wp:positionH>
          <wp:positionV relativeFrom="paragraph">
            <wp:posOffset>-258505</wp:posOffset>
          </wp:positionV>
          <wp:extent cx="1733797" cy="568186"/>
          <wp:effectExtent l="0" t="0" r="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leccy_proste_o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97" cy="56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6E"/>
    <w:multiLevelType w:val="hybridMultilevel"/>
    <w:tmpl w:val="0D62E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724"/>
    <w:multiLevelType w:val="hybridMultilevel"/>
    <w:tmpl w:val="4CD4F8CA"/>
    <w:lvl w:ilvl="0" w:tplc="247C28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8FB"/>
    <w:multiLevelType w:val="hybridMultilevel"/>
    <w:tmpl w:val="BBBCB834"/>
    <w:lvl w:ilvl="0" w:tplc="7A3CDB2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2003951"/>
    <w:multiLevelType w:val="hybridMultilevel"/>
    <w:tmpl w:val="83A4C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060"/>
    <w:multiLevelType w:val="hybridMultilevel"/>
    <w:tmpl w:val="01D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1"/>
    <w:multiLevelType w:val="hybridMultilevel"/>
    <w:tmpl w:val="6EAC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B7E"/>
    <w:multiLevelType w:val="hybridMultilevel"/>
    <w:tmpl w:val="92BA6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70F68"/>
    <w:multiLevelType w:val="hybridMultilevel"/>
    <w:tmpl w:val="86D63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669DD"/>
    <w:multiLevelType w:val="hybridMultilevel"/>
    <w:tmpl w:val="65784D8A"/>
    <w:lvl w:ilvl="0" w:tplc="8E1A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073D"/>
    <w:multiLevelType w:val="hybridMultilevel"/>
    <w:tmpl w:val="C9F2E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D90"/>
    <w:multiLevelType w:val="hybridMultilevel"/>
    <w:tmpl w:val="C6B24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530A"/>
    <w:multiLevelType w:val="hybridMultilevel"/>
    <w:tmpl w:val="4ED84E26"/>
    <w:lvl w:ilvl="0" w:tplc="039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0AB4"/>
    <w:multiLevelType w:val="hybridMultilevel"/>
    <w:tmpl w:val="B88EB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143E"/>
    <w:multiLevelType w:val="hybridMultilevel"/>
    <w:tmpl w:val="EFD8C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4111"/>
    <w:multiLevelType w:val="hybridMultilevel"/>
    <w:tmpl w:val="ECBA47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A4E47"/>
    <w:multiLevelType w:val="hybridMultilevel"/>
    <w:tmpl w:val="7F7E7A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13E46"/>
    <w:multiLevelType w:val="hybridMultilevel"/>
    <w:tmpl w:val="9030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600B"/>
    <w:multiLevelType w:val="hybridMultilevel"/>
    <w:tmpl w:val="8D348A5C"/>
    <w:lvl w:ilvl="0" w:tplc="829E69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781"/>
    <w:multiLevelType w:val="hybridMultilevel"/>
    <w:tmpl w:val="2D9C3A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CE019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0673"/>
    <w:multiLevelType w:val="hybridMultilevel"/>
    <w:tmpl w:val="6BB0A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  <w:num w:numId="17">
    <w:abstractNumId w:val="20"/>
  </w:num>
  <w:num w:numId="18">
    <w:abstractNumId w:val="1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A5"/>
    <w:rsid w:val="00164D48"/>
    <w:rsid w:val="0019605D"/>
    <w:rsid w:val="001D3638"/>
    <w:rsid w:val="00254B93"/>
    <w:rsid w:val="002835FA"/>
    <w:rsid w:val="00296A62"/>
    <w:rsid w:val="002A2D71"/>
    <w:rsid w:val="0033328C"/>
    <w:rsid w:val="00336511"/>
    <w:rsid w:val="003C30A5"/>
    <w:rsid w:val="003C4BDA"/>
    <w:rsid w:val="0043637B"/>
    <w:rsid w:val="00474637"/>
    <w:rsid w:val="00496FE9"/>
    <w:rsid w:val="00517797"/>
    <w:rsid w:val="0052503A"/>
    <w:rsid w:val="00526FD6"/>
    <w:rsid w:val="0061686D"/>
    <w:rsid w:val="00657420"/>
    <w:rsid w:val="00671E57"/>
    <w:rsid w:val="006A7C90"/>
    <w:rsid w:val="006C51AF"/>
    <w:rsid w:val="006D38AC"/>
    <w:rsid w:val="007A1557"/>
    <w:rsid w:val="007F1708"/>
    <w:rsid w:val="007F371D"/>
    <w:rsid w:val="008C670D"/>
    <w:rsid w:val="00936FF5"/>
    <w:rsid w:val="00960A67"/>
    <w:rsid w:val="00A36B5A"/>
    <w:rsid w:val="00A670B9"/>
    <w:rsid w:val="00AC730E"/>
    <w:rsid w:val="00AF7F59"/>
    <w:rsid w:val="00B572F0"/>
    <w:rsid w:val="00C24606"/>
    <w:rsid w:val="00CE11B5"/>
    <w:rsid w:val="00D273A5"/>
    <w:rsid w:val="00D72106"/>
    <w:rsid w:val="00E71D6E"/>
    <w:rsid w:val="00EC77EC"/>
    <w:rsid w:val="00F053C1"/>
    <w:rsid w:val="00F3154C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19BD"/>
  <w15:chartTrackingRefBased/>
  <w15:docId w15:val="{08C0D5D1-46A5-49D7-B75A-1522486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557"/>
    <w:pPr>
      <w:keepNext/>
      <w:keepLines/>
      <w:spacing w:before="480" w:after="0" w:line="276" w:lineRule="auto"/>
      <w:outlineLvl w:val="0"/>
    </w:pPr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71D"/>
  </w:style>
  <w:style w:type="paragraph" w:styleId="Stopka">
    <w:name w:val="footer"/>
    <w:basedOn w:val="Normalny"/>
    <w:link w:val="StopkaZnak"/>
    <w:uiPriority w:val="99"/>
    <w:unhideWhenUsed/>
    <w:rsid w:val="007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1D"/>
  </w:style>
  <w:style w:type="paragraph" w:styleId="Tekstdymka">
    <w:name w:val="Balloon Text"/>
    <w:basedOn w:val="Normalny"/>
    <w:link w:val="TekstdymkaZnak"/>
    <w:uiPriority w:val="99"/>
    <w:semiHidden/>
    <w:unhideWhenUsed/>
    <w:rsid w:val="00F0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106"/>
    <w:pPr>
      <w:spacing w:after="200" w:line="276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65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1557"/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1E74-EECF-4DAC-A7BE-639D959F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mgeilke</dc:creator>
  <cp:keywords/>
  <dc:description/>
  <cp:lastModifiedBy>Iwona Orlecka</cp:lastModifiedBy>
  <cp:revision>2</cp:revision>
  <cp:lastPrinted>2016-11-16T18:54:00Z</cp:lastPrinted>
  <dcterms:created xsi:type="dcterms:W3CDTF">2019-01-14T06:41:00Z</dcterms:created>
  <dcterms:modified xsi:type="dcterms:W3CDTF">2019-01-14T06:41:00Z</dcterms:modified>
</cp:coreProperties>
</file>